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2"/>
      </w:tblGrid>
      <w:tr w:rsidR="00867865" w:rsidRPr="00923EF1" w:rsidTr="00385F53">
        <w:tc>
          <w:tcPr>
            <w:tcW w:w="14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Отчет о результатах 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Второвагайской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средней общеобразовательной школы, филиал МАОУ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Бегишевская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района Тюменской области.</w:t>
            </w:r>
          </w:p>
          <w:p w:rsidR="00867865" w:rsidRPr="00923EF1" w:rsidRDefault="00867865" w:rsidP="00385F5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0"/>
              <w:gridCol w:w="6915"/>
            </w:tblGrid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Второвагайской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средней общеобразовательной школы, филиал МАОУ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Бегишевская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средняя общеобразовательная школа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Вагайского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района тюменской области.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962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7962" w:rsidRPr="00923EF1" w:rsidRDefault="00F77962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7962" w:rsidRPr="00923EF1" w:rsidRDefault="00F77962" w:rsidP="00F7796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Халиуллина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Гульсара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Жигангировна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F77962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Заведующая филиалом 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Ахатова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Чахваровна</w:t>
                  </w:r>
                  <w:proofErr w:type="spellEnd"/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626249, Тюменская область,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Вагайский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Второвагайское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Центральная 9б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8(345)3922809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Ylia.akxatova@mail.ru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образования Администрации </w:t>
                  </w:r>
                  <w:proofErr w:type="spell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Вагайского</w:t>
                  </w:r>
                  <w:proofErr w:type="spell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 района626240,Тюменская область, </w:t>
                  </w:r>
                  <w:proofErr w:type="spell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Вагайский</w:t>
                  </w:r>
                  <w:proofErr w:type="spell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с</w:t>
                  </w:r>
                  <w:proofErr w:type="gram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агай, ул.Ленина,5 Телефон 8(34539)2-35-61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1950 год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«14» декабря 2016 года,  серия 72 Л 01№ 0001908   № 265, регистрационный номер 7159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Свидетельство о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</w:t>
                  </w:r>
                  <w:proofErr w:type="gramEnd"/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Выдано  </w:t>
                  </w:r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«27» декабря 2016 года Департаментом по лицензированию, государственной аккредитации, надзору и контролю в сфере образования Тюменской области,  Серия 72</w:t>
                  </w:r>
                  <w:proofErr w:type="gramStart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2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0000558 № 097, срок действия свидетельства с «27» декабря 2016 г. до « 02» марта 2024 г</w:t>
                  </w:r>
                  <w:r w:rsidRPr="00923EF1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</w:rPr>
                    <w:t>.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962" w:rsidRDefault="00F77962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Второвагайская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СОШ, филиал МАОУ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Бегишевская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СОШ  расположена в с.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Второвагайское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 Большинство семей обучающихся проживают в частных домах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: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39 процентов − рядом со Школой, 61 процент − в близлежащих населенных пунктах.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Основным видом деятельности Школы является реализация общеобразовательных программ дошкольного,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 Оценка системы управления организацией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0"/>
              <w:gridCol w:w="7785"/>
            </w:tblGrid>
            <w:tr w:rsidR="00867865" w:rsidRPr="00923EF1" w:rsidTr="00385F53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Заведующая филиалом 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функционирование филиала;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планирует и организовывает учебно-воспитательный процесс в филиале;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учет, сохранность и пополнение учебно-материальной базы филиала;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lastRenderedPageBreak/>
                    <w:t xml:space="preserve">- организовывает питание </w:t>
                  </w:r>
                  <w:proofErr w:type="gramStart"/>
                  <w:r w:rsidRPr="00923EF1">
                    <w:rPr>
                      <w:i/>
                      <w:color w:val="000000"/>
                    </w:rPr>
                    <w:t>обучающихся</w:t>
                  </w:r>
                  <w:proofErr w:type="gramEnd"/>
                  <w:r w:rsidRPr="00923EF1">
                    <w:rPr>
                      <w:i/>
                      <w:color w:val="000000"/>
                    </w:rPr>
                    <w:t>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соблюдение правил санитарно-гигиенического режима;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обеспечивает соблюдение правил и норм охраны труда, техники безопасности и противопожарной защиты;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решает вопросы хозяйственной деятельности филиала;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 xml:space="preserve">- дает </w:t>
                  </w:r>
                  <w:proofErr w:type="gramStart"/>
                  <w:r w:rsidRPr="00923EF1">
                    <w:rPr>
                      <w:i/>
                      <w:color w:val="000000"/>
                    </w:rPr>
                    <w:t>обязательные к исполнению</w:t>
                  </w:r>
                  <w:proofErr w:type="gramEnd"/>
                  <w:r w:rsidRPr="00923EF1">
                    <w:rPr>
                      <w:i/>
                      <w:color w:val="000000"/>
                    </w:rPr>
                    <w:t xml:space="preserve"> указания работникам филиала;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 xml:space="preserve">- формирует контингент </w:t>
                  </w:r>
                  <w:proofErr w:type="gramStart"/>
                  <w:r w:rsidRPr="00923EF1">
                    <w:rPr>
                      <w:i/>
                      <w:color w:val="000000"/>
                    </w:rPr>
                    <w:t>обучающихся</w:t>
                  </w:r>
                  <w:proofErr w:type="gramEnd"/>
                  <w:r w:rsidRPr="00923EF1">
                    <w:rPr>
                      <w:i/>
                      <w:color w:val="000000"/>
                    </w:rPr>
                    <w:t>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представляет отчетность о деятельности филиала в Учреждение;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представляет руководителю Учреждения сведения для тарификации работников филиала;</w:t>
                  </w:r>
                </w:p>
                <w:p w:rsidR="00867865" w:rsidRPr="00923EF1" w:rsidRDefault="00867865" w:rsidP="00385F53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923EF1">
                    <w:rPr>
                      <w:i/>
                      <w:color w:val="000000"/>
                    </w:rPr>
                    <w:t>- представляет работников филиала к установлению надбавок и доплат, премированию;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Управляющий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развития образовательной организации;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финансово-хозяйственной деятельности;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Для осуществления учебно-методической работы в Школе создано  методическое объединения учителей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 деятельности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  </w:t>
            </w:r>
            <w:hyperlink r:id="rId5" w:anchor="/document/99/902389617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 «Об образовании в Российской Федерации», ФГОС начального общего, основного общего и среднего общего образования, </w:t>
            </w:r>
            <w:proofErr w:type="spellStart"/>
            <w:r w:rsidR="002A3EC4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instrText xml:space="preserve"> HYPERLINK "https://vip.1obraz.ru/" \l "/document/99/902256369/" \o "" </w:instrText>
            </w:r>
            <w:r w:rsidR="002A3EC4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>СанПиН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 xml:space="preserve"> 2.4.2.2821-10</w:t>
            </w:r>
            <w:r w:rsidR="002A3EC4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      </w:r>
            <w:proofErr w:type="gramEnd"/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      </w:r>
            <w:hyperlink r:id="rId6" w:anchor="/document/99/902180656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ФГОС НОО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), 5–9 классов – на 5-летний нормативный срок освоения основной образовательной программы основного</w:t>
            </w:r>
          </w:p>
          <w:p w:rsidR="00867865" w:rsidRPr="00923EF1" w:rsidRDefault="00867865" w:rsidP="00385F5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общего образования (реализация  </w:t>
            </w:r>
            <w:hyperlink r:id="rId7" w:anchor="/document/99/902254916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ФГОС ООО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), 10–11 классов – на 2-летний нормативный срок освоения образовательной программы 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среднего общего образования (</w:t>
            </w:r>
            <w:hyperlink r:id="rId8" w:anchor="/document/99/902350579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ФГОС СОО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).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Воспитательная работа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В 2019 году Школа провела работу по профилактике употребления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Проведены обучающие семинары для учителей специалистами ЦПМСС и специалистами центра «Катарсис» по вопросам здорового образа жизни, по вопросам диагностики неадекватного состояния учащихся. 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Были организованы:</w:t>
            </w:r>
          </w:p>
          <w:p w:rsidR="00867865" w:rsidRPr="00923EF1" w:rsidRDefault="00867865" w:rsidP="00385F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выступление агитбригад, участие в фестивале «Мы выбираем жизнь!»;</w:t>
            </w:r>
          </w:p>
          <w:p w:rsidR="00867865" w:rsidRPr="00923EF1" w:rsidRDefault="00867865" w:rsidP="00385F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участие в конкурсе социальных плакатов «Я против ПАВ»;</w:t>
            </w:r>
          </w:p>
          <w:p w:rsidR="00867865" w:rsidRPr="00923EF1" w:rsidRDefault="00867865" w:rsidP="00385F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участие в областном конкурсе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социальной рекламы;</w:t>
            </w:r>
          </w:p>
          <w:p w:rsidR="00867865" w:rsidRPr="00923EF1" w:rsidRDefault="00867865" w:rsidP="00385F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проведение классных часов и бесед на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темы с использованием </w:t>
            </w:r>
            <w:proofErr w:type="spellStart"/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ИКТ-технологий</w:t>
            </w:r>
            <w:proofErr w:type="spellEnd"/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;</w:t>
            </w:r>
          </w:p>
          <w:p w:rsidR="00867865" w:rsidRPr="00923EF1" w:rsidRDefault="00867865" w:rsidP="00385F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книжная выставка «Я выбираю жизнь» в школьной библиотеке;</w:t>
            </w:r>
          </w:p>
          <w:p w:rsidR="00867865" w:rsidRPr="00923EF1" w:rsidRDefault="00867865" w:rsidP="00385F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лекции с участием сотрудников МВД.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Дополнительное образование ведется по программам следующей направленности:</w:t>
            </w:r>
          </w:p>
          <w:p w:rsidR="00867865" w:rsidRPr="00923EF1" w:rsidRDefault="00867865" w:rsidP="00385F53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спортивно-оздоровительное;</w:t>
            </w:r>
          </w:p>
          <w:p w:rsidR="00867865" w:rsidRPr="00923EF1" w:rsidRDefault="00867865" w:rsidP="00385F53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духовно-нравственное;</w:t>
            </w:r>
          </w:p>
          <w:p w:rsidR="00867865" w:rsidRPr="00923EF1" w:rsidRDefault="00867865" w:rsidP="00385F53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социальное;</w:t>
            </w:r>
          </w:p>
          <w:p w:rsidR="00867865" w:rsidRPr="00923EF1" w:rsidRDefault="00867865" w:rsidP="00385F53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;</w:t>
            </w:r>
          </w:p>
          <w:p w:rsidR="00867865" w:rsidRPr="00923EF1" w:rsidRDefault="00867865" w:rsidP="00385F53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общекультурное.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Выбор профилей осуществлен на основании опроса обучающихся и родителей, который провели в октябре 2019 года. По итогам опроса 101 обучающихся и 70 родителей выявили, что спортивно-оздоровительное направление выбрало 90 процентов, духовно-нравственное – 80 процентов, социальное – 60 процентов,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– 80 процентов, общекультурное – 80 </w:t>
            </w:r>
            <w:bookmarkStart w:id="0" w:name="_GoBack"/>
            <w:bookmarkEnd w:id="0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процентов.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IV. Содержание и качество подготовки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Статистика показателей за 2016–2019 годы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9"/>
              <w:gridCol w:w="3483"/>
              <w:gridCol w:w="2218"/>
              <w:gridCol w:w="2548"/>
              <w:gridCol w:w="2108"/>
              <w:gridCol w:w="2860"/>
            </w:tblGrid>
            <w:tr w:rsidR="00867865" w:rsidRPr="00923EF1" w:rsidTr="00385F53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2016–2017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2017–2018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2018–2019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конец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2019 года</w:t>
                  </w:r>
                </w:p>
              </w:tc>
            </w:tr>
            <w:tr w:rsidR="00867865" w:rsidRPr="00923EF1" w:rsidTr="00385F53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67865" w:rsidRPr="00923EF1" w:rsidTr="00385F53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867865" w:rsidRPr="00923EF1" w:rsidTr="00385F53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среднем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общем образовании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867865" w:rsidRPr="00923EF1" w:rsidTr="00385F53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школу с аттестатом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 xml:space="preserve">Приведенная статистика показывает, что  стабильно растет количество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Школы.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Профильного и углубленного обучения в Школе нет. 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Обучающихся с ОВЗ (9 учащихся) и инвалидностью (3 учащихся)  в 2019 году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2019 году Школа продолжает успешно реализовывать рабочие программы «Второй иностранный язык: немецкий», «Родной язык: татарский», «Родная литература: татарская», которые внесли в основные образовательные программы начального общего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основного общего и среднего общего образования . 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  <w:t>Количество классов , которые изучают второй иностранный язык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Количество </w:t>
            </w: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 классов по годам: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2017 – 3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2018 – 4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2019 - 5</w:t>
            </w:r>
          </w:p>
          <w:p w:rsidR="00867865" w:rsidRPr="009B5762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2019 году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"/>
              <w:gridCol w:w="724"/>
              <w:gridCol w:w="614"/>
              <w:gridCol w:w="720"/>
              <w:gridCol w:w="1382"/>
              <w:gridCol w:w="795"/>
              <w:gridCol w:w="1382"/>
              <w:gridCol w:w="390"/>
              <w:gridCol w:w="645"/>
              <w:gridCol w:w="360"/>
              <w:gridCol w:w="870"/>
              <w:gridCol w:w="350"/>
              <w:gridCol w:w="795"/>
              <w:gridCol w:w="615"/>
            </w:tblGrid>
            <w:tr w:rsidR="00867865" w:rsidRPr="00923EF1" w:rsidTr="00385F53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18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Из них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успевают</w:t>
                  </w:r>
                </w:p>
              </w:tc>
              <w:tc>
                <w:tcPr>
                  <w:tcW w:w="181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Окончили 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085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867865" w:rsidRPr="00923EF1" w:rsidTr="00385F53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Из них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385F53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 «4» и «5»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67865" w:rsidRPr="00923EF1" w:rsidTr="00385F53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Если сравнить результаты освоения обучающимися программ начального общего образования по показателю «успеваемость» в 2019 году с результатами освоения учащимися программ начального общего образования по показателю «успеваемость» в 2018 году, то можно отметить, что процент учащихся, окончивших на «4» и «5», вырос на 2, процента (в 2018 был 48 %).</w:t>
            </w:r>
          </w:p>
          <w:p w:rsidR="00867865" w:rsidRPr="009B5762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основного общего образования по показателю «успеваемость» в 2019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8"/>
              <w:gridCol w:w="1466"/>
              <w:gridCol w:w="846"/>
              <w:gridCol w:w="703"/>
              <w:gridCol w:w="1850"/>
              <w:gridCol w:w="703"/>
              <w:gridCol w:w="1850"/>
              <w:gridCol w:w="562"/>
              <w:gridCol w:w="1124"/>
              <w:gridCol w:w="468"/>
              <w:gridCol w:w="1124"/>
              <w:gridCol w:w="468"/>
              <w:gridCol w:w="1268"/>
              <w:gridCol w:w="576"/>
            </w:tblGrid>
            <w:tr w:rsidR="00867865" w:rsidRPr="00923EF1" w:rsidTr="00385F53">
              <w:tc>
                <w:tcPr>
                  <w:tcW w:w="8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Из них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«4» и «5»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67865" w:rsidRPr="00923EF1" w:rsidTr="00385F53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2019 году с результатами освоения учащимися программ основного общего образования по показателю «успеваемость» в 2018 году, то можно отметить, что процент учащихся, окончивших на «4» и «5», снизился на 6 процента (в 2018 был 38%).</w:t>
            </w:r>
          </w:p>
          <w:p w:rsidR="00867865" w:rsidRPr="009B5762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программ среднего общего образования обучающимися 10, 11 классов по показателю «успеваемость» в 2019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"/>
              <w:gridCol w:w="1539"/>
              <w:gridCol w:w="632"/>
              <w:gridCol w:w="525"/>
              <w:gridCol w:w="1382"/>
              <w:gridCol w:w="390"/>
              <w:gridCol w:w="1382"/>
              <w:gridCol w:w="350"/>
              <w:gridCol w:w="614"/>
              <w:gridCol w:w="592"/>
              <w:gridCol w:w="1418"/>
              <w:gridCol w:w="350"/>
              <w:gridCol w:w="900"/>
              <w:gridCol w:w="806"/>
              <w:gridCol w:w="656"/>
              <w:gridCol w:w="1151"/>
            </w:tblGrid>
            <w:tr w:rsidR="00867865" w:rsidRPr="00923EF1" w:rsidTr="00385F53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Сменили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форму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обучения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Из них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«4» и «5»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среднего общего образования по показателю «успеваемость» в 2019 учебном году снизился на 35 процентов (в 2018 количество обучающихся, которые закончили полугодие на «4» и «5», было 60 %).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      </w:r>
          </w:p>
          <w:p w:rsidR="00867865" w:rsidRPr="009B5762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Результаты сдачи ЕГЭ 2019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8"/>
              <w:gridCol w:w="2284"/>
              <w:gridCol w:w="3480"/>
              <w:gridCol w:w="3522"/>
              <w:gridCol w:w="2192"/>
            </w:tblGrid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Сдавали всего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Сколько обучающихся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получили 100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Сколько обучающихся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получили 90–98 баллов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2019 году результаты ЕГЭ ухудшились по сравнению с 2018 годом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2018 году было 2 обучающихся), понизился средний тестовый бал (с 45 до 36).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923E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Средний бал по ЕГЭ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:rsidR="00867865" w:rsidRPr="009B5762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Результаты сдачи ОГЭ 2019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9"/>
              <w:gridCol w:w="1680"/>
              <w:gridCol w:w="2756"/>
              <w:gridCol w:w="2412"/>
              <w:gridCol w:w="2390"/>
              <w:gridCol w:w="2239"/>
            </w:tblGrid>
            <w:tr w:rsidR="00867865" w:rsidRPr="00923EF1" w:rsidTr="00385F53">
              <w:tc>
                <w:tcPr>
                  <w:tcW w:w="1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Сдавали всего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Сколько обучающихся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получили 100 баллов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Сколько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получили «5»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Сколько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получили «4»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Сколько 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обучающихся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получили «3»</w:t>
                  </w:r>
                </w:p>
              </w:tc>
            </w:tr>
            <w:tr w:rsidR="00867865" w:rsidRPr="00923EF1" w:rsidTr="00385F53">
              <w:tc>
                <w:tcPr>
                  <w:tcW w:w="1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67865" w:rsidRPr="00923EF1" w:rsidTr="00385F53">
              <w:tc>
                <w:tcPr>
                  <w:tcW w:w="1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67865" w:rsidRPr="00923EF1" w:rsidTr="00385F53">
              <w:tc>
                <w:tcPr>
                  <w:tcW w:w="1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67865" w:rsidRPr="00923EF1" w:rsidTr="00385F53">
              <w:tc>
                <w:tcPr>
                  <w:tcW w:w="1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67865" w:rsidRPr="00923EF1" w:rsidTr="00385F53">
              <w:tc>
                <w:tcPr>
                  <w:tcW w:w="1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67865" w:rsidRPr="00923EF1" w:rsidTr="00385F53">
              <w:tc>
                <w:tcPr>
                  <w:tcW w:w="18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2019 году обучающиеся показали стабильно хорошие результаты ОГЭ. Увеличилось количество обучающихся, которые получили «4» и «5» по сравнению с 2018 годом.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выпускников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"/>
              <w:gridCol w:w="794"/>
              <w:gridCol w:w="1345"/>
              <w:gridCol w:w="1358"/>
              <w:gridCol w:w="2289"/>
              <w:gridCol w:w="794"/>
              <w:gridCol w:w="1419"/>
              <w:gridCol w:w="2289"/>
              <w:gridCol w:w="1526"/>
              <w:gridCol w:w="1336"/>
            </w:tblGrid>
            <w:tr w:rsidR="00867865" w:rsidRPr="00923EF1" w:rsidTr="00385F53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выпуска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Перешли в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10-й класс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Перешли в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10-й класс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другой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Поступили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ВУЗ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Устроились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Пошли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срочную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службу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призыву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В 2019 году увеличилось число выпускников 9-го класса, которые продолжили обучение в 10 классе.  Количество </w:t>
            </w: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выпускников, поступающих в ВУЗ,  растет по сравнению с общим количеством выпускников 11-го класса.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VI. Оценка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Школе утверждено  </w:t>
            </w:r>
            <w:hyperlink r:id="rId11" w:anchor="/document/118/30289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 от 31.05.2018. По итогам оценки качества образования в 2019 году выявлено, что уровень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 результатов соответствуют среднему уровню,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личностных результатов 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высокая</w:t>
            </w:r>
            <w:proofErr w:type="gram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результатам анкетирования 2019 года выявлено, что количество родителей, которые удовлетворены качеством образования в Школе, 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8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 процента, количество обучающихся, удовлетворенны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х образовательным процессом, – 95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процентов. Высказаны пожелания о введении</w:t>
            </w:r>
          </w:p>
          <w:p w:rsidR="00867865" w:rsidRPr="00923EF1" w:rsidRDefault="00867865" w:rsidP="00385F5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 обеспечения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На период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в Школе работают 12 педагогов, из них 3 – внутренних совместителей. Из них 3 человек имеют среднее специальное образование.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867865" w:rsidRPr="00923EF1" w:rsidRDefault="00867865" w:rsidP="00385F53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 сохранение, укрепление и развитие кадрового потенциала;</w:t>
            </w:r>
          </w:p>
          <w:p w:rsidR="00867865" w:rsidRPr="00923EF1" w:rsidRDefault="00867865" w:rsidP="00385F53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867865" w:rsidRPr="00923EF1" w:rsidRDefault="00867865" w:rsidP="00385F53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повышения уровня квалификации персонала.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867865" w:rsidRPr="00923EF1" w:rsidRDefault="00867865" w:rsidP="00385F5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867865" w:rsidRPr="00923EF1" w:rsidRDefault="00867865" w:rsidP="00385F5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кадровый потенциал Школы динамично развивается на основе целенаправленной работы по</w:t>
            </w: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hyperlink r:id="rId12" w:anchor="/document/16/4019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По итогам 2019 года Школа готова перейти на применение профессиональных стандартов. Из 12 педагогического работника 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 xml:space="preserve">Школы 11  соответствуют квалификационным требованиям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«Педагог». 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Общая характеристика:</w:t>
            </w:r>
          </w:p>
          <w:p w:rsidR="00867865" w:rsidRPr="00923EF1" w:rsidRDefault="00867865" w:rsidP="00385F53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объем библиотечного фонда – 3258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единица;</w:t>
            </w:r>
          </w:p>
          <w:p w:rsidR="00867865" w:rsidRPr="00923EF1" w:rsidRDefault="00867865" w:rsidP="00385F53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– 100 процентов;</w:t>
            </w:r>
          </w:p>
          <w:p w:rsidR="00867865" w:rsidRPr="00923EF1" w:rsidRDefault="00867865" w:rsidP="00385F53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обращаемость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2030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единиц в год;</w:t>
            </w:r>
          </w:p>
          <w:p w:rsidR="00867865" w:rsidRPr="00923EF1" w:rsidRDefault="00867865" w:rsidP="00385F53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объем учебного фонда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1183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единица.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"/>
              <w:gridCol w:w="4740"/>
              <w:gridCol w:w="1770"/>
              <w:gridCol w:w="1785"/>
            </w:tblGrid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единиц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фонде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Сколько экземпляров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выдавалось за год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1183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1018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3" w:anchor="/document/97/476512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приказом </w:t>
              </w:r>
              <w:proofErr w:type="spellStart"/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 xml:space="preserve"> России от 28.12.2018 № 345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библиотеке имеются электро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нные образовательные ресурсы – 55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дисков; Средний уро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вень посещаемости библиотеки – 10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человек в 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день.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 официальном </w:t>
            </w:r>
            <w:hyperlink r:id="rId14" w:anchor="/document/16/2227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сайте школы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 есть страница библиотеки с информацией о работе и проводимых мероприятиях  </w:t>
            </w:r>
            <w:hyperlink r:id="rId15" w:anchor="/document/16/38785/" w:history="1">
              <w:r w:rsidRPr="00923EF1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библиотеки Школы</w:t>
              </w:r>
            </w:hyperlink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 базы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  образовательные программы. </w:t>
            </w:r>
            <w:proofErr w:type="gram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В Школе оборудованы 11 учебных кабинета, 4 из них оснащен современной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техникой, в том числе:</w:t>
            </w:r>
            <w:proofErr w:type="gramEnd"/>
          </w:p>
          <w:p w:rsidR="00867865" w:rsidRPr="00923EF1" w:rsidRDefault="00867865" w:rsidP="00385F53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лаборатория по физике;</w:t>
            </w:r>
          </w:p>
          <w:p w:rsidR="00867865" w:rsidRPr="00923EF1" w:rsidRDefault="00867865" w:rsidP="00385F53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компьютерный класс;</w:t>
            </w:r>
          </w:p>
          <w:p w:rsidR="00867865" w:rsidRPr="00923EF1" w:rsidRDefault="00867865" w:rsidP="00385F53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кабинет технологии для девочек;</w:t>
            </w:r>
          </w:p>
          <w:p w:rsidR="00867865" w:rsidRPr="00923EF1" w:rsidRDefault="00867865" w:rsidP="00385F53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Оборудована столовая, пищеблок и спортивный зал.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Асфальтированная площадка для игр на территории Школы оборудована спортивная площадка.</w:t>
            </w:r>
          </w:p>
          <w:p w:rsidR="00867865" w:rsidRPr="00923EF1" w:rsidRDefault="00867865" w:rsidP="00385F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Данные приведены по состоянию на 30 декабря 2019 года.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61"/>
              <w:gridCol w:w="1380"/>
              <w:gridCol w:w="1785"/>
            </w:tblGrid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 (29%)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      </w:r>
                </w:p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 (5%)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(0,4%)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 (66%)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педагогическим </w:t>
                  </w: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человек </w:t>
                  </w: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(17%)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 (42%)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(17%)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 (42%)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 (100%)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 (100%)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0,15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ск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67865" w:rsidRPr="00923EF1" w:rsidRDefault="00867865" w:rsidP="00385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101 (100%)</w:t>
                  </w:r>
                </w:p>
              </w:tc>
            </w:tr>
            <w:tr w:rsidR="00867865" w:rsidRPr="00923EF1" w:rsidTr="00385F5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865" w:rsidRPr="00923EF1" w:rsidRDefault="00867865" w:rsidP="00385F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</w:t>
                  </w:r>
                  <w:r w:rsidRPr="00923E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Анализ </w:t>
            </w:r>
          </w:p>
          <w:p w:rsidR="00867865" w:rsidRPr="00923EF1" w:rsidRDefault="00867865" w:rsidP="00385F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показателей указывает на то, что Школа имеет достаточную инфраструктуру, которая соответствует требованиям </w:t>
            </w:r>
            <w:proofErr w:type="spellStart"/>
            <w:r w:rsidR="002A3EC4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instrText xml:space="preserve"> HYPERLINK "https://vip.1obraz.ru/" \l "/document/99/902256369/" \o "" </w:instrText>
            </w:r>
            <w:r w:rsidR="002A3EC4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>СанПиН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i/>
                <w:iCs/>
                <w:color w:val="0047B3"/>
                <w:sz w:val="24"/>
                <w:szCs w:val="24"/>
                <w:lang w:eastAsia="ru-RU"/>
              </w:rPr>
              <w:t> 2.4.2.2821-10</w:t>
            </w:r>
            <w:r w:rsidR="002A3EC4"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r w:rsidRPr="00923E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      </w:r>
          </w:p>
          <w:p w:rsidR="00867865" w:rsidRPr="00923EF1" w:rsidRDefault="00867865" w:rsidP="00385F5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867865" w:rsidRPr="00923EF1" w:rsidRDefault="00867865" w:rsidP="00867865">
      <w:pPr>
        <w:rPr>
          <w:rFonts w:ascii="Times New Roman" w:hAnsi="Times New Roman" w:cs="Times New Roman"/>
          <w:sz w:val="24"/>
          <w:szCs w:val="24"/>
        </w:rPr>
      </w:pPr>
    </w:p>
    <w:p w:rsidR="00AD62A9" w:rsidRDefault="00AD62A9"/>
    <w:sectPr w:rsidR="00AD62A9" w:rsidSect="00877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568"/>
    <w:multiLevelType w:val="multilevel"/>
    <w:tmpl w:val="F31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3A33"/>
    <w:multiLevelType w:val="multilevel"/>
    <w:tmpl w:val="78B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647BD"/>
    <w:multiLevelType w:val="multilevel"/>
    <w:tmpl w:val="B3E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830CB"/>
    <w:multiLevelType w:val="multilevel"/>
    <w:tmpl w:val="240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3531E"/>
    <w:multiLevelType w:val="multilevel"/>
    <w:tmpl w:val="C4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36D53"/>
    <w:multiLevelType w:val="multilevel"/>
    <w:tmpl w:val="8E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E67E4"/>
    <w:multiLevelType w:val="multilevel"/>
    <w:tmpl w:val="AF6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D75BA"/>
    <w:multiLevelType w:val="multilevel"/>
    <w:tmpl w:val="7A8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D0018"/>
    <w:multiLevelType w:val="multilevel"/>
    <w:tmpl w:val="AA1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64BDC"/>
    <w:multiLevelType w:val="multilevel"/>
    <w:tmpl w:val="F4A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65"/>
    <w:rsid w:val="002A3EC4"/>
    <w:rsid w:val="00867865"/>
    <w:rsid w:val="00AD62A9"/>
    <w:rsid w:val="00F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7865"/>
  </w:style>
  <w:style w:type="character" w:customStyle="1" w:styleId="sfwc">
    <w:name w:val="sfwc"/>
    <w:basedOn w:val="a0"/>
    <w:rsid w:val="00867865"/>
  </w:style>
  <w:style w:type="character" w:styleId="a4">
    <w:name w:val="Strong"/>
    <w:basedOn w:val="a0"/>
    <w:uiPriority w:val="22"/>
    <w:qFormat/>
    <w:rsid w:val="00867865"/>
    <w:rPr>
      <w:b/>
      <w:bCs/>
    </w:rPr>
  </w:style>
  <w:style w:type="character" w:styleId="a5">
    <w:name w:val="Hyperlink"/>
    <w:basedOn w:val="a0"/>
    <w:uiPriority w:val="99"/>
    <w:semiHidden/>
    <w:unhideWhenUsed/>
    <w:rsid w:val="008678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86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7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axId val="119805824"/>
        <c:axId val="119807360"/>
      </c:barChart>
      <c:catAx>
        <c:axId val="119805824"/>
        <c:scaling>
          <c:orientation val="minMax"/>
        </c:scaling>
        <c:axPos val="b"/>
        <c:numFmt formatCode="General" sourceLinked="1"/>
        <c:tickLblPos val="nextTo"/>
        <c:crossAx val="119807360"/>
        <c:crosses val="autoZero"/>
        <c:auto val="1"/>
        <c:lblAlgn val="ctr"/>
        <c:lblOffset val="100"/>
      </c:catAx>
      <c:valAx>
        <c:axId val="119807360"/>
        <c:scaling>
          <c:orientation val="minMax"/>
        </c:scaling>
        <c:axPos val="l"/>
        <c:majorGridlines/>
        <c:numFmt formatCode="General" sourceLinked="1"/>
        <c:tickLblPos val="nextTo"/>
        <c:crossAx val="1198058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51.5</c:v>
                </c:pt>
                <c:pt idx="2">
                  <c:v>42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36</c:v>
                </c:pt>
                <c:pt idx="2">
                  <c:v>44</c:v>
                </c:pt>
                <c:pt idx="3">
                  <c:v>26</c:v>
                </c:pt>
                <c:pt idx="4">
                  <c:v>27</c:v>
                </c:pt>
              </c:numCache>
            </c:numRef>
          </c:val>
        </c:ser>
        <c:marker val="1"/>
        <c:axId val="92318720"/>
        <c:axId val="92439296"/>
      </c:lineChart>
      <c:catAx>
        <c:axId val="92318720"/>
        <c:scaling>
          <c:orientation val="minMax"/>
        </c:scaling>
        <c:axPos val="b"/>
        <c:tickLblPos val="nextTo"/>
        <c:crossAx val="92439296"/>
        <c:crosses val="autoZero"/>
        <c:auto val="1"/>
        <c:lblAlgn val="ctr"/>
        <c:lblOffset val="100"/>
      </c:catAx>
      <c:valAx>
        <c:axId val="92439296"/>
        <c:scaling>
          <c:orientation val="minMax"/>
        </c:scaling>
        <c:axPos val="l"/>
        <c:majorGridlines/>
        <c:numFmt formatCode="General" sourceLinked="1"/>
        <c:tickLblPos val="nextTo"/>
        <c:crossAx val="9231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3549</Words>
  <Characters>20233</Characters>
  <Application>Microsoft Office Word</Application>
  <DocSecurity>0</DocSecurity>
  <Lines>168</Lines>
  <Paragraphs>47</Paragraphs>
  <ScaleCrop>false</ScaleCrop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2020-04-20T06:34:00Z</dcterms:created>
  <dcterms:modified xsi:type="dcterms:W3CDTF">2020-04-20T06:38:00Z</dcterms:modified>
</cp:coreProperties>
</file>