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rtl w:val="0"/>
        </w:rPr>
        <w:t xml:space="preserve">Читаем летом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7843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720"/>
        <w:gridCol w:w="7123"/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32"/>
                <w:vertAlign w:val="baseline"/>
                <w:rtl w:val="0"/>
              </w:rPr>
              <w:t xml:space="preserve">№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32"/>
                <w:vertAlign w:val="baseline"/>
                <w:rtl w:val="0"/>
              </w:rPr>
              <w:t xml:space="preserve">Автор и название произведения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Л. Завальнюк «Коля, Оля и Архимед»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Итальянская сказка «Дары феи Кренского озера»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Р.Киплинг «Как было написано первое письмо»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В.Каверин «Песочные часы»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Былина «Садко»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С.Маршак «Как печатали вашу книгу»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Стихи об осени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А.Чехов «Каштанка»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М.Лермонтов «Бородино»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Д.Мамин-Сибиряк «Алёнушкины сказки»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А.Гайдар «Сказка о военной тайне»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К. Паустовский «Стальное колечко»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А.Куприн «Белый пудель»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Мои любимые стихи о зиме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Г.Скребицкий «Рассказы»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В.В.Бианки «Лесная газета. Зима»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В.В.Бианки «Лесная газета. Зима» выпуск газеты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С.Алексеев «Рассказы о ленинградцах»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19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Э.Сетон-Томпсон «Рваное ушко»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 Э.Сетон-Томпсон «Чинк»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Д.Лондон «Сказание о Кише»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В.Гауф «Маленький Мук»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Братья Гримм «Сказки»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Н.Кун «Легенды и мифы Древней Греции»  (Олимп, Царство мрачного Аида,)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32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Стихи о Великой Отечественной войне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32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32"/>
                <w:vertAlign w:val="baseline"/>
                <w:rtl w:val="0"/>
              </w:rPr>
              <w:t xml:space="preserve">А. Печерская «Дети – герои Великой Отечественной войны»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внекл.чт..docx</dc:title>
</cp:coreProperties>
</file>